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277 vom 2. November 2006</w:t>
      </w:r>
    </w:p>
    <w:p>
      <w:r>
        <w:t>BL Gerichte, 2006-11-02, DE</w:t>
      </w:r>
    </w:p>
    <w:p>
      <w:r>
        <w:rPr>
          <w:b/>
        </w:rPr>
        <w:t xml:space="preserve">Quelle: </w:t>
      </w:r>
      <w:r>
        <w:t>https://mcp.opencaselaw.ch/entscheid/bl_gerichte_720 2012 277</w:t>
      </w:r>
    </w:p>
    <w:p>
      <w:r>
        <w:t>FR: BL_GERICHTE 720 2012 277 du 2 novembre 2006</w:t>
      </w:r>
    </w:p>
    <w:p>
      <w:r>
        <w:t>IT: BL_GERICHTE 720 2012 277 del 2 novembre 2006</w:t>
      </w:r>
    </w:p>
    <w:p>
      <w:pPr>
        <w:pStyle w:val="Heading2"/>
      </w:pPr>
      <w:r>
        <w:t>Regeste</w:t>
      </w:r>
    </w:p>
    <w:p>
      <w:r>
        <w:t>IV-Rente</w:t>
      </w:r>
    </w:p>
    <w:p>
      <w:pPr>
        <w:pStyle w:val="Heading2"/>
      </w:pPr>
      <w:r>
        <w:t>Erwägungen</w:t>
      </w:r>
    </w:p>
    <w:p>
      <w:r>
        <w:rPr>
          <w:b/>
        </w:rPr>
        <w:t>E. 1</w:t>
      </w:r>
    </w:p>
    <w:p>
      <w:r>
        <w:t>Vorliegend ist zu prüfen, ob die Versicherte Anspruch auf eine höhere als die laufende halbe Invalidenrente hat.</w:t>
      </w:r>
    </w:p>
    <w:p>
      <w:r>
        <w:rPr>
          <w:b/>
        </w:rPr>
        <w:t>E. 1.1</w:t>
      </w:r>
    </w:p>
    <w:p>
      <w:r>
        <w:t>Anspruch auf eine Rente haben nach Art. 28 Abs. 1 des Bundesgesetzes über die Invalidenversicherung (IVG) vom 1.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Art. 7 Abs. 2 ATSG ausschliesslich die Folgen der gesundheitlichen Beeinträchtigung zu berücksichtigen (Satz 1). Eine Erwerbsunfähigkeit liegt zudem nur vor, wenn sie aus objektiver Sicht nicht überwindbar ist (Satz 2).</w:t>
      </w:r>
    </w:p>
    <w:p>
      <w:r>
        <w:rPr>
          <w:b/>
        </w:rPr>
        <w:t>E. 1.2</w:t>
      </w:r>
    </w:p>
    <w:p>
      <w:r>
        <w:t>Nach Art. 28 Abs. 2 IVG hat die versicherte Person Anspruch auf eine ganze Rente, wenn sie zu mindestens 70 %, auf eine Dreiviertelsrente, wenn sie zu mindestens 60 %, auf eine halbe Rente, wenn sie zu mindestens 50 % und auf eine Viertelsrente, wenn sie zu mindestens 40 % invalid ist. 2.1 Ausgangspunkt der Ermittlung eines Rentenanspruchs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2.2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2.3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Bei der Beurteilung der Frage, ob und allenfalls in welchem Umfang bei einer versicherten Person eine Arbeitsunfähigkeit besteht beziehungsweise wie die verbleibende Arbeitsfähigkeit verwertet werden kann, sind die Gerichte regelmässig auf entsprechende fachärztliche Einschätzungen und Stellungnahmen angewiesen.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w:t>
      </w:r>
    </w:p>
    <w:p>
      <w:r>
        <w:t>Die IV-Stelle Basel-Landschaft hat der Beschwerdeführerin eine Parteientschädigung in der Höhe von Fr. 2'704.85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